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95" w:rsidRPr="006B5A95" w:rsidRDefault="002B1045" w:rsidP="006B5A95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0" w:name="_GoBack"/>
      <w:bookmarkEnd w:id="0"/>
      <w:r w:rsidRPr="00723632">
        <w:rPr>
          <w:rFonts w:asciiTheme="minorHAnsi" w:hAnsiTheme="minorHAnsi" w:cstheme="minorHAnsi"/>
          <w:b/>
          <w:sz w:val="22"/>
          <w:szCs w:val="22"/>
          <w:lang w:val="es-MX"/>
        </w:rPr>
        <w:t xml:space="preserve">México, D.F., a </w:t>
      </w:r>
      <w:r w:rsidR="00FB009B">
        <w:rPr>
          <w:rFonts w:asciiTheme="minorHAnsi" w:hAnsiTheme="minorHAnsi" w:cstheme="minorHAnsi"/>
          <w:b/>
          <w:sz w:val="22"/>
          <w:szCs w:val="22"/>
          <w:lang w:val="es-MX"/>
        </w:rPr>
        <w:t>23</w:t>
      </w:r>
      <w:r w:rsidRPr="00723632">
        <w:rPr>
          <w:rFonts w:asciiTheme="minorHAnsi" w:hAnsiTheme="minorHAnsi" w:cstheme="minorHAnsi"/>
          <w:b/>
          <w:sz w:val="22"/>
          <w:szCs w:val="22"/>
          <w:lang w:val="es-MX"/>
        </w:rPr>
        <w:t xml:space="preserve"> de julio de 2013.</w:t>
      </w:r>
    </w:p>
    <w:p w:rsidR="006B5A95" w:rsidRPr="006B5A95" w:rsidRDefault="006B5A95" w:rsidP="006B5A95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B5A95" w:rsidRPr="006B5A95" w:rsidRDefault="006B5A95" w:rsidP="006B5A95">
      <w:pPr>
        <w:widowControl w:val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25138" w:rsidTr="00325138">
        <w:tc>
          <w:tcPr>
            <w:tcW w:w="5495" w:type="dxa"/>
          </w:tcPr>
          <w:p w:rsidR="00325138" w:rsidRDefault="00325138" w:rsidP="00DC2B5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LOS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LICITANTES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INVITACIÓN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NACIONAL 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MATERIA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OBRA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INMOBILIARIA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No.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700-13-</w:t>
            </w:r>
            <w:r w:rsidR="0059063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0036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-1</w:t>
            </w:r>
            <w:r w:rsidRPr="006B5A9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.</w:t>
            </w:r>
          </w:p>
        </w:tc>
      </w:tr>
    </w:tbl>
    <w:p w:rsidR="006B5A95" w:rsidRPr="006B5A95" w:rsidRDefault="006B5A95" w:rsidP="006B5A95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B5A95" w:rsidRPr="006B5A95" w:rsidRDefault="006B5A95" w:rsidP="006B5A95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B5A95" w:rsidRPr="006B5A95" w:rsidRDefault="006B5A95" w:rsidP="006B5A95">
      <w:pPr>
        <w:widowControl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B5A95">
        <w:rPr>
          <w:rFonts w:asciiTheme="minorHAnsi" w:hAnsiTheme="minorHAnsi" w:cstheme="minorHAnsi"/>
          <w:b/>
          <w:caps/>
          <w:sz w:val="22"/>
          <w:szCs w:val="22"/>
        </w:rPr>
        <w:t>F a l l o.</w:t>
      </w:r>
    </w:p>
    <w:p w:rsidR="006B5A95" w:rsidRPr="006B5A95" w:rsidRDefault="006B5A95" w:rsidP="006B5A95">
      <w:pPr>
        <w:widowControl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6B5A95" w:rsidRPr="00C83D3A" w:rsidRDefault="006B5A95" w:rsidP="00C83D3A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Nos referimos a la </w:t>
      </w:r>
      <w:r w:rsidR="00325138" w:rsidRPr="00C83D3A">
        <w:rPr>
          <w:rFonts w:asciiTheme="minorHAnsi" w:hAnsiTheme="minorHAnsi" w:cstheme="minorHAnsi"/>
          <w:sz w:val="22"/>
          <w:szCs w:val="22"/>
          <w:lang w:val="es-MX"/>
        </w:rPr>
        <w:t>invitación nacional en materia de obra inmobiliaria No. 700-13-</w:t>
      </w:r>
      <w:r w:rsidR="00590634">
        <w:rPr>
          <w:rFonts w:asciiTheme="minorHAnsi" w:hAnsiTheme="minorHAnsi" w:cstheme="minorHAnsi"/>
          <w:sz w:val="22"/>
          <w:szCs w:val="22"/>
          <w:lang w:val="es-MX"/>
        </w:rPr>
        <w:t>0036</w:t>
      </w:r>
      <w:r w:rsidR="00325138" w:rsidRPr="00C83D3A">
        <w:rPr>
          <w:rFonts w:asciiTheme="minorHAnsi" w:hAnsiTheme="minorHAnsi" w:cstheme="minorHAnsi"/>
          <w:sz w:val="22"/>
          <w:szCs w:val="22"/>
          <w:lang w:val="es-MX"/>
        </w:rPr>
        <w:t>-1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, de fecha </w:t>
      </w:r>
      <w:r w:rsidR="00590634">
        <w:rPr>
          <w:rFonts w:asciiTheme="minorHAnsi" w:hAnsiTheme="minorHAnsi" w:cstheme="minorHAnsi"/>
          <w:sz w:val="22"/>
          <w:szCs w:val="22"/>
          <w:lang w:val="es-MX"/>
        </w:rPr>
        <w:t>7</w:t>
      </w:r>
      <w:r w:rsidR="00325138"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590634">
        <w:rPr>
          <w:rFonts w:asciiTheme="minorHAnsi" w:hAnsiTheme="minorHAnsi" w:cstheme="minorHAnsi"/>
          <w:sz w:val="22"/>
          <w:szCs w:val="22"/>
          <w:lang w:val="es-MX"/>
        </w:rPr>
        <w:t>junio</w:t>
      </w:r>
      <w:r w:rsidR="00325138"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 de 2013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, relativa a la obra consistente en </w:t>
      </w:r>
      <w:r w:rsidR="00590634" w:rsidRPr="00590634">
        <w:rPr>
          <w:rFonts w:asciiTheme="minorHAnsi" w:hAnsiTheme="minorHAnsi" w:cstheme="minorHAnsi"/>
          <w:sz w:val="22"/>
          <w:szCs w:val="22"/>
          <w:lang w:val="es-MX"/>
        </w:rPr>
        <w:t>trabajos de mantenimiento diverso y adaptaciones en el inmueble que ocupa la Caja Regional Mexicali de Banco de México, ubicado en Av. de los Héroes No. 298, Centro Cívico y Comercial, C.P. 21000, Mexicali, Baja California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>, incluyendo el suministro de los bienes que se requieran para su realización.</w:t>
      </w:r>
    </w:p>
    <w:p w:rsidR="006B5A95" w:rsidRPr="00C83D3A" w:rsidRDefault="006B5A95" w:rsidP="00C83D3A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6B5A95" w:rsidRPr="00C83D3A" w:rsidRDefault="006B5A95" w:rsidP="00C83D3A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Sobre el particular, con esta fecha se da a conocer el fallo de dicho procedimiento, de conformidad con lo establecido en los artículos 30, fracción III, y 32 de las Normas del Banco de México en Materia de Obra Inmobiliaria y Servicios Relacionados con la Misma, así como en el numeral </w:t>
      </w:r>
      <w:r w:rsidR="00325138" w:rsidRPr="00C83D3A">
        <w:rPr>
          <w:rFonts w:asciiTheme="minorHAnsi" w:hAnsiTheme="minorHAnsi" w:cstheme="minorHAnsi"/>
          <w:sz w:val="22"/>
          <w:szCs w:val="22"/>
          <w:lang w:val="es-MX"/>
        </w:rPr>
        <w:t>8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 de la referida carta invitación, en los términos siguientes: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567" w:hanging="567"/>
        <w:rPr>
          <w:rFonts w:asciiTheme="minorHAnsi" w:hAnsiTheme="minorHAnsi" w:cstheme="minorHAnsi"/>
          <w:sz w:val="22"/>
          <w:szCs w:val="22"/>
          <w:u w:val="none"/>
        </w:rPr>
      </w:pPr>
    </w:p>
    <w:p w:rsidR="006B5A95" w:rsidRDefault="006B5A95" w:rsidP="00F9388E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</w:pPr>
      <w:r w:rsidRPr="006B5A95">
        <w:rPr>
          <w:rFonts w:asciiTheme="minorHAnsi" w:hAnsiTheme="minorHAnsi" w:cstheme="minorHAnsi"/>
          <w:sz w:val="22"/>
          <w:szCs w:val="22"/>
          <w:u w:val="none"/>
        </w:rPr>
        <w:t>I.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ab/>
      </w:r>
      <w:r w:rsidRPr="006B5A95"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>RELACIÓN DE LICITANTES QUE PRESENTARON PROPOSICIONES.</w:t>
      </w:r>
    </w:p>
    <w:p w:rsidR="00590634" w:rsidRPr="00590634" w:rsidRDefault="00590634" w:rsidP="00590634">
      <w:pPr>
        <w:pStyle w:val="Prrafodelista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590634">
        <w:rPr>
          <w:rFonts w:asciiTheme="minorHAnsi" w:hAnsiTheme="minorHAnsi" w:cstheme="minorHAnsi"/>
          <w:sz w:val="22"/>
          <w:szCs w:val="22"/>
          <w:lang w:val="es-MX"/>
        </w:rPr>
        <w:t xml:space="preserve">Marthe Acabados </w:t>
      </w:r>
      <w:r>
        <w:rPr>
          <w:rFonts w:asciiTheme="minorHAnsi" w:hAnsiTheme="minorHAnsi" w:cstheme="minorHAnsi"/>
          <w:sz w:val="22"/>
          <w:szCs w:val="22"/>
          <w:lang w:val="es-MX"/>
        </w:rPr>
        <w:t>y</w:t>
      </w:r>
      <w:r w:rsidRPr="00590634">
        <w:rPr>
          <w:rFonts w:asciiTheme="minorHAnsi" w:hAnsiTheme="minorHAnsi" w:cstheme="minorHAnsi"/>
          <w:sz w:val="22"/>
          <w:szCs w:val="22"/>
          <w:lang w:val="es-MX"/>
        </w:rPr>
        <w:t xml:space="preserve"> Construcciones, S.A. </w:t>
      </w:r>
      <w:r>
        <w:rPr>
          <w:rFonts w:asciiTheme="minorHAnsi" w:hAnsiTheme="minorHAnsi" w:cstheme="minorHAnsi"/>
          <w:sz w:val="22"/>
          <w:szCs w:val="22"/>
          <w:lang w:val="es-MX"/>
        </w:rPr>
        <w:t>d</w:t>
      </w:r>
      <w:r w:rsidRPr="00590634">
        <w:rPr>
          <w:rFonts w:asciiTheme="minorHAnsi" w:hAnsiTheme="minorHAnsi" w:cstheme="minorHAnsi"/>
          <w:sz w:val="22"/>
          <w:szCs w:val="22"/>
          <w:lang w:val="es-MX"/>
        </w:rPr>
        <w:t>e C.V.</w:t>
      </w:r>
    </w:p>
    <w:p w:rsidR="001C4749" w:rsidRPr="001C4749" w:rsidRDefault="00590634" w:rsidP="00590634">
      <w:pPr>
        <w:pStyle w:val="Prrafodelista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590634">
        <w:rPr>
          <w:rFonts w:asciiTheme="minorHAnsi" w:hAnsiTheme="minorHAnsi" w:cstheme="minorHAnsi"/>
          <w:sz w:val="22"/>
          <w:szCs w:val="22"/>
          <w:lang w:val="es-MX"/>
        </w:rPr>
        <w:t xml:space="preserve">Comercializadora Internacional </w:t>
      </w:r>
      <w:r>
        <w:rPr>
          <w:rFonts w:asciiTheme="minorHAnsi" w:hAnsiTheme="minorHAnsi" w:cstheme="minorHAnsi"/>
          <w:sz w:val="22"/>
          <w:szCs w:val="22"/>
          <w:lang w:val="es-MX"/>
        </w:rPr>
        <w:t>d</w:t>
      </w:r>
      <w:r w:rsidRPr="00590634">
        <w:rPr>
          <w:rFonts w:asciiTheme="minorHAnsi" w:hAnsiTheme="minorHAnsi" w:cstheme="minorHAnsi"/>
          <w:sz w:val="22"/>
          <w:szCs w:val="22"/>
          <w:lang w:val="es-MX"/>
        </w:rPr>
        <w:t xml:space="preserve">e Materiales </w:t>
      </w:r>
      <w:r>
        <w:rPr>
          <w:rFonts w:asciiTheme="minorHAnsi" w:hAnsiTheme="minorHAnsi" w:cstheme="minorHAnsi"/>
          <w:sz w:val="22"/>
          <w:szCs w:val="22"/>
          <w:lang w:val="es-MX"/>
        </w:rPr>
        <w:t>y</w:t>
      </w:r>
      <w:r w:rsidRPr="00590634">
        <w:rPr>
          <w:rFonts w:asciiTheme="minorHAnsi" w:hAnsiTheme="minorHAnsi" w:cstheme="minorHAnsi"/>
          <w:sz w:val="22"/>
          <w:szCs w:val="22"/>
          <w:lang w:val="es-MX"/>
        </w:rPr>
        <w:t xml:space="preserve"> Servicios </w:t>
      </w:r>
      <w:r>
        <w:rPr>
          <w:rFonts w:asciiTheme="minorHAnsi" w:hAnsiTheme="minorHAnsi" w:cstheme="minorHAnsi"/>
          <w:sz w:val="22"/>
          <w:szCs w:val="22"/>
          <w:lang w:val="es-MX"/>
        </w:rPr>
        <w:t>d</w:t>
      </w:r>
      <w:r w:rsidRPr="00590634">
        <w:rPr>
          <w:rFonts w:asciiTheme="minorHAnsi" w:hAnsiTheme="minorHAnsi" w:cstheme="minorHAnsi"/>
          <w:sz w:val="22"/>
          <w:szCs w:val="22"/>
          <w:lang w:val="es-MX"/>
        </w:rPr>
        <w:t xml:space="preserve">e Construcción, S.A. </w:t>
      </w:r>
      <w:r>
        <w:rPr>
          <w:rFonts w:asciiTheme="minorHAnsi" w:hAnsiTheme="minorHAnsi" w:cstheme="minorHAnsi"/>
          <w:sz w:val="22"/>
          <w:szCs w:val="22"/>
          <w:lang w:val="es-MX"/>
        </w:rPr>
        <w:t>d</w:t>
      </w:r>
      <w:r w:rsidRPr="00590634">
        <w:rPr>
          <w:rFonts w:asciiTheme="minorHAnsi" w:hAnsiTheme="minorHAnsi" w:cstheme="minorHAnsi"/>
          <w:sz w:val="22"/>
          <w:szCs w:val="22"/>
          <w:lang w:val="es-MX"/>
        </w:rPr>
        <w:t>e C.V.</w:t>
      </w:r>
    </w:p>
    <w:p w:rsidR="00445CEB" w:rsidRPr="00F9388E" w:rsidRDefault="00445CEB" w:rsidP="006B5A95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6B5A95" w:rsidRPr="006B5A95" w:rsidRDefault="002D6B66" w:rsidP="009524FD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II.</w:t>
      </w:r>
      <w:r w:rsidR="00C83D3A">
        <w:rPr>
          <w:rFonts w:asciiTheme="minorHAnsi" w:hAnsiTheme="minorHAnsi" w:cstheme="minorHAnsi"/>
          <w:sz w:val="22"/>
          <w:szCs w:val="22"/>
          <w:u w:val="none"/>
        </w:rPr>
        <w:tab/>
      </w:r>
      <w:r>
        <w:rPr>
          <w:rFonts w:asciiTheme="minorHAnsi" w:hAnsiTheme="minorHAnsi" w:cstheme="minorHAnsi"/>
          <w:sz w:val="22"/>
          <w:szCs w:val="22"/>
          <w:u w:val="none"/>
        </w:rPr>
        <w:t>PROPOSICI</w:t>
      </w:r>
      <w:r w:rsidR="00C3276E">
        <w:rPr>
          <w:rFonts w:asciiTheme="minorHAnsi" w:hAnsiTheme="minorHAnsi" w:cstheme="minorHAnsi"/>
          <w:sz w:val="22"/>
          <w:szCs w:val="22"/>
          <w:u w:val="none"/>
        </w:rPr>
        <w:t>ONES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QUE 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>RESULTA</w:t>
      </w:r>
      <w:r w:rsidR="00C3276E">
        <w:rPr>
          <w:rFonts w:asciiTheme="minorHAnsi" w:hAnsiTheme="minorHAnsi" w:cstheme="minorHAnsi"/>
          <w:sz w:val="22"/>
          <w:szCs w:val="22"/>
          <w:u w:val="none"/>
        </w:rPr>
        <w:t>RON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 xml:space="preserve"> SOLVENTE</w:t>
      </w:r>
      <w:r w:rsidR="00C3276E">
        <w:rPr>
          <w:rFonts w:asciiTheme="minorHAnsi" w:hAnsiTheme="minorHAnsi" w:cstheme="minorHAnsi"/>
          <w:sz w:val="22"/>
          <w:szCs w:val="22"/>
          <w:u w:val="none"/>
        </w:rPr>
        <w:t>S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 xml:space="preserve"> Y DESCRIPCIÓN EN LO GENERAL DE DICHA</w:t>
      </w:r>
      <w:r w:rsidR="00C3276E">
        <w:rPr>
          <w:rFonts w:asciiTheme="minorHAnsi" w:hAnsiTheme="minorHAnsi" w:cstheme="minorHAnsi"/>
          <w:sz w:val="22"/>
          <w:szCs w:val="22"/>
          <w:u w:val="none"/>
        </w:rPr>
        <w:t>S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 xml:space="preserve"> PROPOSICI</w:t>
      </w:r>
      <w:r w:rsidR="00C3276E">
        <w:rPr>
          <w:rFonts w:asciiTheme="minorHAnsi" w:hAnsiTheme="minorHAnsi" w:cstheme="minorHAnsi"/>
          <w:sz w:val="22"/>
          <w:szCs w:val="22"/>
          <w:u w:val="none"/>
        </w:rPr>
        <w:t>ONES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9524FD" w:rsidRDefault="009524FD" w:rsidP="009524FD">
      <w:pPr>
        <w:pStyle w:val="Entrada"/>
        <w:keepNext w:val="0"/>
        <w:keepLines w:val="0"/>
        <w:widowControl w:val="0"/>
        <w:spacing w:before="0"/>
        <w:ind w:left="567" w:hanging="56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F9388E">
        <w:rPr>
          <w:rFonts w:asciiTheme="minorHAnsi" w:hAnsiTheme="minorHAnsi" w:cstheme="minorHAnsi"/>
          <w:b w:val="0"/>
          <w:sz w:val="22"/>
          <w:szCs w:val="22"/>
          <w:u w:val="none"/>
        </w:rPr>
        <w:t>II.1</w:t>
      </w:r>
      <w:r w:rsidRPr="00F9388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90634"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>Marthe Acabados y Construcciones, S.A. de C.V.</w:t>
      </w:r>
    </w:p>
    <w:p w:rsidR="00590634" w:rsidRPr="00590634" w:rsidRDefault="00590634" w:rsidP="00590634">
      <w:pPr>
        <w:pStyle w:val="Entrada"/>
        <w:keepNext w:val="0"/>
        <w:keepLines w:val="0"/>
        <w:widowControl w:val="0"/>
        <w:spacing w:before="0"/>
        <w:ind w:left="56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>El licitante presentó la información y documentación solicitada por el Banco en la invitación de referencia, cumpliendo con los requisitos solicitados en el presente procedimiento. Los análisis de precios unitarios</w:t>
      </w:r>
      <w:r w:rsidR="00B2635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se encuentran debidamente estructurados por costos directos, indirectos, de financiamiento y cargo por utilidad. Sin embargo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los conceptos </w:t>
      </w:r>
      <w:r w:rsidR="00255E92">
        <w:rPr>
          <w:rFonts w:asciiTheme="minorHAnsi" w:hAnsiTheme="minorHAnsi" w:cstheme="minorHAnsi"/>
          <w:b w:val="0"/>
          <w:sz w:val="22"/>
          <w:szCs w:val="22"/>
          <w:u w:val="none"/>
        </w:rPr>
        <w:t>2.2, 4.13, 5.5 y 6.8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255E92" w:rsidRPr="00255E92">
        <w:rPr>
          <w:rFonts w:asciiTheme="minorHAnsi" w:hAnsiTheme="minorHAnsi" w:cstheme="minorHAnsi"/>
          <w:b w:val="0"/>
          <w:sz w:val="22"/>
          <w:szCs w:val="22"/>
          <w:u w:val="none"/>
        </w:rPr>
        <w:t>presentan omisiones, variaciones o errores en su integración, los cuales en su conjunto suman un importe de $116,183.74, equivalente al 8.34% de su propuesta original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>, por lo que fue aplicado el procedimiento de homologación contemplado en el numeral 13.1, párrafos séptimo y octavo de la misma invitación.</w:t>
      </w:r>
    </w:p>
    <w:p w:rsidR="006B5A95" w:rsidRPr="009524FD" w:rsidRDefault="00590634" w:rsidP="00590634">
      <w:pPr>
        <w:pStyle w:val="Entrada"/>
        <w:keepNext w:val="0"/>
        <w:keepLines w:val="0"/>
        <w:widowControl w:val="0"/>
        <w:spacing w:before="0"/>
        <w:ind w:left="56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>De acuerdo a lo anterior, el monto total de su proposición económica una vez homologada para efectos de adjudicación d</w:t>
      </w:r>
      <w:r w:rsidR="00255E92">
        <w:rPr>
          <w:rFonts w:asciiTheme="minorHAnsi" w:hAnsiTheme="minorHAnsi" w:cstheme="minorHAnsi"/>
          <w:b w:val="0"/>
          <w:sz w:val="22"/>
          <w:szCs w:val="22"/>
          <w:u w:val="none"/>
        </w:rPr>
        <w:t>e acuerdo con la carta Invitación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es de </w:t>
      </w:r>
      <w:r w:rsidR="00255E92" w:rsidRPr="00255E92">
        <w:rPr>
          <w:rFonts w:asciiTheme="minorHAnsi" w:hAnsiTheme="minorHAnsi" w:cstheme="minorHAnsi"/>
          <w:sz w:val="22"/>
          <w:szCs w:val="22"/>
          <w:u w:val="none"/>
        </w:rPr>
        <w:t>$1’294,350.77 (UN MILLÓN DOSCIENTOS NOVENTA Y CUATRO MIL TRESCIENTOS CINCUENTA PESOS 77/100 M.N.)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>, más el correspondiente impuesto al valor agregado.</w:t>
      </w:r>
    </w:p>
    <w:p w:rsidR="009524FD" w:rsidRDefault="009524FD" w:rsidP="006B5A95">
      <w:pPr>
        <w:pStyle w:val="Entrada"/>
        <w:keepNext w:val="0"/>
        <w:keepLines w:val="0"/>
        <w:widowControl w:val="0"/>
        <w:spacing w:before="0" w:after="0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255E92" w:rsidRDefault="00255E92" w:rsidP="00255E92">
      <w:pPr>
        <w:pStyle w:val="Entrada"/>
        <w:keepNext w:val="0"/>
        <w:keepLines w:val="0"/>
        <w:widowControl w:val="0"/>
        <w:spacing w:before="0"/>
        <w:ind w:left="567" w:hanging="56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F9388E">
        <w:rPr>
          <w:rFonts w:asciiTheme="minorHAnsi" w:hAnsiTheme="minorHAnsi" w:cstheme="minorHAnsi"/>
          <w:b w:val="0"/>
          <w:sz w:val="22"/>
          <w:szCs w:val="22"/>
          <w:u w:val="none"/>
        </w:rPr>
        <w:t>II.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Pr="00F9388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255E92">
        <w:rPr>
          <w:rFonts w:asciiTheme="minorHAnsi" w:hAnsiTheme="minorHAnsi" w:cstheme="minorHAnsi"/>
          <w:b w:val="0"/>
          <w:sz w:val="22"/>
          <w:szCs w:val="22"/>
          <w:u w:val="none"/>
        </w:rPr>
        <w:t>Comercializadora Internacional de Materiales y Servicios de Construcción, S.A. de C.V.</w:t>
      </w:r>
    </w:p>
    <w:p w:rsidR="00255E92" w:rsidRPr="00590634" w:rsidRDefault="00255E92" w:rsidP="00255E92">
      <w:pPr>
        <w:pStyle w:val="Entrada"/>
        <w:keepNext w:val="0"/>
        <w:keepLines w:val="0"/>
        <w:widowControl w:val="0"/>
        <w:spacing w:before="0"/>
        <w:ind w:left="56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El licitante presentó la información y documentación solicitada por el Banco en la invitación de referencia, cumpliendo con los requisitos solicitados en el presente procedimiento. Los análisis de precios unitarios </w:t>
      </w:r>
      <w:r w:rsidR="00B26350">
        <w:rPr>
          <w:rFonts w:asciiTheme="minorHAnsi" w:hAnsiTheme="minorHAnsi" w:cstheme="minorHAnsi"/>
          <w:b w:val="0"/>
          <w:sz w:val="22"/>
          <w:szCs w:val="22"/>
          <w:u w:val="none"/>
        </w:rPr>
        <w:t>se encuentran debidamente estructurados por costos directos, indirectos, de financiamiento y cargo por utilidad. Sin embargo</w:t>
      </w:r>
      <w:r w:rsidR="00B26350" w:rsidRPr="00590634" w:rsidDel="00B2635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los conceptos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2.4, 4.1, 4.1</w:t>
      </w:r>
      <w:r w:rsidR="00B26350">
        <w:rPr>
          <w:rFonts w:asciiTheme="minorHAnsi" w:hAnsiTheme="minorHAnsi" w:cstheme="minorHAnsi"/>
          <w:b w:val="0"/>
          <w:sz w:val="22"/>
          <w:szCs w:val="22"/>
          <w:u w:val="none"/>
        </w:rPr>
        <w:t>0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y 4.22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255E9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presentan omisiones, variaciones o errores en su </w:t>
      </w:r>
      <w:r w:rsidRPr="00255E92">
        <w:rPr>
          <w:rFonts w:asciiTheme="minorHAnsi" w:hAnsiTheme="minorHAnsi" w:cstheme="minorHAnsi"/>
          <w:b w:val="0"/>
          <w:sz w:val="22"/>
          <w:szCs w:val="22"/>
          <w:u w:val="none"/>
        </w:rPr>
        <w:lastRenderedPageBreak/>
        <w:t>integración, los cuales en su conjunto suman un importe de $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23,242.33</w:t>
      </w:r>
      <w:r w:rsidRPr="00255E9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equivalente al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1.68</w:t>
      </w:r>
      <w:r w:rsidRPr="00255E92">
        <w:rPr>
          <w:rFonts w:asciiTheme="minorHAnsi" w:hAnsiTheme="minorHAnsi" w:cstheme="minorHAnsi"/>
          <w:b w:val="0"/>
          <w:sz w:val="22"/>
          <w:szCs w:val="22"/>
          <w:u w:val="none"/>
        </w:rPr>
        <w:t>% de su propuesta original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>, por lo que fue aplicado el procedimiento de homologación contemplado en el numeral 13.1, párrafos séptimo y octavo de la misma invitación.</w:t>
      </w:r>
    </w:p>
    <w:p w:rsidR="00255E92" w:rsidRPr="009524FD" w:rsidRDefault="00255E92" w:rsidP="00255E92">
      <w:pPr>
        <w:pStyle w:val="Entrada"/>
        <w:keepNext w:val="0"/>
        <w:keepLines w:val="0"/>
        <w:widowControl w:val="0"/>
        <w:spacing w:before="0"/>
        <w:ind w:left="56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 acuerdo a lo anterior, el monto total de su proposición económica una vez homologada para efectos de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comparación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e acuerdo con la carta Invitación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es de </w:t>
      </w:r>
      <w:r w:rsidRPr="00255E92">
        <w:rPr>
          <w:rFonts w:asciiTheme="minorHAnsi" w:hAnsiTheme="minorHAnsi" w:cstheme="minorHAnsi"/>
          <w:sz w:val="22"/>
          <w:szCs w:val="22"/>
          <w:u w:val="none"/>
        </w:rPr>
        <w:t xml:space="preserve">$1’385,991.37 (UN MILLÓN </w:t>
      </w:r>
      <w:r>
        <w:rPr>
          <w:rFonts w:asciiTheme="minorHAnsi" w:hAnsiTheme="minorHAnsi" w:cstheme="minorHAnsi"/>
          <w:sz w:val="22"/>
          <w:szCs w:val="22"/>
          <w:u w:val="none"/>
        </w:rPr>
        <w:t>TRESCIENTOS OCHENTA Y CINCO MIL NOVECIENTOS NOVENTA Y UN PESOS 37/100</w:t>
      </w:r>
      <w:r w:rsidRPr="00255E92">
        <w:rPr>
          <w:rFonts w:asciiTheme="minorHAnsi" w:hAnsiTheme="minorHAnsi" w:cstheme="minorHAnsi"/>
          <w:sz w:val="22"/>
          <w:szCs w:val="22"/>
          <w:u w:val="none"/>
        </w:rPr>
        <w:t xml:space="preserve"> M.N.)</w:t>
      </w:r>
      <w:r w:rsidRPr="00590634">
        <w:rPr>
          <w:rFonts w:asciiTheme="minorHAnsi" w:hAnsiTheme="minorHAnsi" w:cstheme="minorHAnsi"/>
          <w:b w:val="0"/>
          <w:sz w:val="22"/>
          <w:szCs w:val="22"/>
          <w:u w:val="none"/>
        </w:rPr>
        <w:t>, más el correspondiente impuesto al valor agregado.</w:t>
      </w:r>
    </w:p>
    <w:p w:rsidR="00255E92" w:rsidRPr="009524FD" w:rsidRDefault="00255E92" w:rsidP="006B5A95">
      <w:pPr>
        <w:pStyle w:val="Entrada"/>
        <w:keepNext w:val="0"/>
        <w:keepLines w:val="0"/>
        <w:widowControl w:val="0"/>
        <w:spacing w:before="0" w:after="0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6B5A95" w:rsidRPr="006B5A95" w:rsidRDefault="006B5A95" w:rsidP="00C83D3A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 w:rsidRPr="006B5A95">
        <w:rPr>
          <w:rFonts w:asciiTheme="minorHAnsi" w:hAnsiTheme="minorHAnsi" w:cstheme="minorHAnsi"/>
          <w:sz w:val="22"/>
          <w:szCs w:val="22"/>
          <w:u w:val="none"/>
        </w:rPr>
        <w:t>I</w:t>
      </w:r>
      <w:r w:rsidR="00255E92">
        <w:rPr>
          <w:rFonts w:asciiTheme="minorHAnsi" w:hAnsiTheme="minorHAnsi" w:cstheme="minorHAnsi"/>
          <w:sz w:val="22"/>
          <w:szCs w:val="22"/>
          <w:u w:val="none"/>
        </w:rPr>
        <w:t>II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>.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ab/>
        <w:t>NOMBRE DEL LICITANTE A QUIEN SE ADJUDICA EL CONTRATO, RAZONES QUE MOTIVARON LA ADJUDICACIÓN Y MONTO TOTAL DE LA PROPOSICIÓN.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Una vez hecha la evaluación de las proposiciones, el contrato se adjudica a </w:t>
      </w:r>
      <w:r w:rsidR="00C3276E" w:rsidRPr="00C3276E">
        <w:rPr>
          <w:rFonts w:asciiTheme="minorHAnsi" w:hAnsiTheme="minorHAnsi" w:cstheme="minorHAnsi"/>
          <w:sz w:val="22"/>
          <w:szCs w:val="22"/>
          <w:u w:val="none"/>
        </w:rPr>
        <w:t>Marthe Acabados y Construcciones, S.A. de C.V.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por un importe de </w:t>
      </w:r>
      <w:r w:rsidR="00C3276E" w:rsidRPr="00C3276E">
        <w:rPr>
          <w:rFonts w:asciiTheme="minorHAnsi" w:hAnsiTheme="minorHAnsi" w:cstheme="minorHAnsi"/>
          <w:sz w:val="22"/>
          <w:szCs w:val="22"/>
          <w:u w:val="none"/>
        </w:rPr>
        <w:t>$1’294,350.77 (UN MILLÓN DOSCIENTOS NOVENTA Y CUATRO MIL TRESCIENTOS CINCUENTA PESOS 77/100 M.N.)</w:t>
      </w:r>
      <w:r w:rsidRPr="006B5A95"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>,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más el correspondiente impuesto al valor agregado, </w:t>
      </w:r>
      <w:r w:rsidR="00254612"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>toda vez que cumple con los requisitos establecidos en invitación, por lo que su proposición es solvente y la que oferta el precio más bajo, en consecuencia, garantiza el cumplimiento de sus obligaciones respectivas y asegura las mejores condiciones disponibles en cuanto a precio, calidad, financiamiento</w:t>
      </w:r>
      <w:r w:rsidR="004E14F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y </w:t>
      </w:r>
      <w:r w:rsidR="00254612"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>oportunidad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  <w:r w:rsidR="0025461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Lo anterior de conformidad </w:t>
      </w:r>
      <w:r w:rsidR="00254612"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>con lo establecido en el penúltimo párrafo del artículo 31 de las Normas del Banco de México en materia de obra inmobiliaria y servicios relacionados con la misma, así como en el numeral 13.2 de la invitación</w:t>
      </w:r>
      <w:r w:rsidR="0043331C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6B5A95" w:rsidRPr="006B5A95" w:rsidRDefault="00255E92" w:rsidP="00C83D3A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I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>V.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ab/>
        <w:t>TÉRMINOS Y CONDICIONES PARA LA FIRMA DEL CONTRATO, PRESENTACIÓN DE GARANTÍAS Y ENTREGA DE ANTICIPO.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</w:p>
    <w:p w:rsidR="006B5A95" w:rsidRPr="006B5A95" w:rsidRDefault="005A3497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a)</w:t>
      </w:r>
      <w:r w:rsidR="006B5A95" w:rsidRPr="006B5A95">
        <w:rPr>
          <w:rFonts w:asciiTheme="minorHAnsi" w:hAnsiTheme="minorHAnsi" w:cstheme="minorHAnsi"/>
          <w:sz w:val="22"/>
          <w:szCs w:val="22"/>
          <w:u w:val="none"/>
        </w:rPr>
        <w:t xml:space="preserve"> Firma del Contrato.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</w:p>
    <w:p w:rsidR="006B5A95" w:rsidRPr="006B5A95" w:rsidRDefault="00FC67B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La persona facultada</w:t>
      </w:r>
      <w:r w:rsidR="00B14FCD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</w:t>
      </w:r>
      <w:r w:rsidR="006B5A95"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deberá presentarse a firmar el contrato respectivo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a las 17:00 horas d</w:t>
      </w:r>
      <w:r w:rsidR="006B5A95"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el </w:t>
      </w:r>
      <w:r w:rsidR="00FB009B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día </w:t>
      </w:r>
      <w:r w:rsidR="00723632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2</w:t>
      </w:r>
      <w:r w:rsidR="00FB009B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5</w:t>
      </w:r>
      <w:r w:rsidR="00723632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de </w:t>
      </w:r>
      <w:r w:rsidR="00FB009B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julio</w:t>
      </w:r>
      <w:r w:rsidR="00723632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de 2013</w:t>
      </w:r>
      <w:r w:rsidR="006B5A95"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, en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la </w:t>
      </w:r>
      <w:r w:rsidRPr="00FC67B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Oficina de Administración y Control de Contratos de Obra, ubicada en Bolívar No. 19, Colonia Centro, Delegación Cuauhtémoc, C.P. 06059, en México, Distrito Federal</w:t>
      </w:r>
      <w:r w:rsidR="005623D7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, o bien en la Oficina  de Administración de la Caja Regional Mexicali de Banco de México, ubicada en Av. De los Héroes No. 298, Centro Cívico y Comercial, C.P. 21000, Mexicali, Baja California</w:t>
      </w:r>
      <w:r w:rsidR="006B5A95"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. 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sz w:val="22"/>
          <w:szCs w:val="22"/>
          <w:u w:val="none"/>
        </w:rPr>
      </w:pPr>
    </w:p>
    <w:p w:rsidR="006B5A95" w:rsidRPr="006B5A95" w:rsidRDefault="005A3497" w:rsidP="006B5A9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eastAsia="Calibr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b) </w:t>
      </w:r>
      <w:r w:rsidR="006B5A95" w:rsidRPr="006B5A95">
        <w:rPr>
          <w:rFonts w:asciiTheme="minorHAnsi" w:eastAsia="Calibri" w:hAnsiTheme="minorHAnsi" w:cstheme="minorHAnsi"/>
          <w:sz w:val="22"/>
          <w:szCs w:val="22"/>
          <w:u w:val="none"/>
        </w:rPr>
        <w:t>Presentación de garantías.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</w:p>
    <w:p w:rsidR="00723632" w:rsidRPr="006B5A95" w:rsidRDefault="006B5A95" w:rsidP="00723632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De acuerdo a lo previsto en el numeral </w:t>
      </w:r>
      <w:r w:rsidR="00FC67B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5</w:t>
      </w: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 y en el modelo de contrato adjunto a la invitación de referencia, las 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garantías relativas al anticipo y al cumplimiento del contrato, se deberán expedir por un monto igual al del anticipo, incluyendo el importe del impuesto al valor agregado, la primera, y por el 10% del importe total del contrato, antes del impuesto citado, la segunda, 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y deberán ser presentadas al Banco </w:t>
      </w:r>
      <w:r w:rsidR="00DC2B5E" w:rsidRPr="00DC2B5E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dentro de los 15 días naturales siguientes a la fecha de notificación del</w:t>
      </w:r>
      <w:r w:rsidR="00DC2B5E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 presente </w:t>
      </w:r>
      <w:r w:rsidR="00DC2B5E" w:rsidRPr="00DC2B5E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fallo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, en </w:t>
      </w:r>
      <w:r w:rsidR="00DC2B5E" w:rsidRPr="00DC2B5E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la Oficina de Administración y Control de Contratos de Obra, ubicada en Bolívar No. 19, Colonia Centro, Delegación Cuauhtémoc, C.P. 06059, en México, Distrito Federal</w:t>
      </w:r>
      <w:r w:rsidR="00723632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, o bien en la Oficina  de Administración de la Caja Regional Mexicali de Banco de México, ubicada en Av. De los Héroes No. 298, Centro Cívico y Comercial, C.P. 21000, Mexicali, Baja California</w:t>
      </w:r>
      <w:r w:rsidR="00723632"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. 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.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</w:t>
      </w:r>
    </w:p>
    <w:p w:rsidR="006B5A95" w:rsidRPr="006B5A95" w:rsidRDefault="005A3497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sz w:val="22"/>
          <w:szCs w:val="22"/>
          <w:u w:val="none"/>
        </w:rPr>
      </w:pPr>
      <w:r>
        <w:rPr>
          <w:rFonts w:asciiTheme="minorHAnsi" w:eastAsia="Calibri" w:hAnsiTheme="minorHAnsi" w:cstheme="minorHAnsi"/>
          <w:sz w:val="22"/>
          <w:szCs w:val="22"/>
          <w:u w:val="none"/>
        </w:rPr>
        <w:lastRenderedPageBreak/>
        <w:t xml:space="preserve">c) </w:t>
      </w:r>
      <w:r w:rsidR="006B5A95" w:rsidRPr="006B5A95">
        <w:rPr>
          <w:rFonts w:asciiTheme="minorHAnsi" w:eastAsia="Calibri" w:hAnsiTheme="minorHAnsi" w:cstheme="minorHAnsi"/>
          <w:sz w:val="22"/>
          <w:szCs w:val="22"/>
          <w:u w:val="none"/>
        </w:rPr>
        <w:t xml:space="preserve">Entrega de anticipo. 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sz w:val="22"/>
          <w:szCs w:val="22"/>
          <w:u w:val="none"/>
        </w:rPr>
      </w:pPr>
    </w:p>
    <w:p w:rsidR="006B5A95" w:rsidRPr="00FE7CC2" w:rsidRDefault="006B5A9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De acuerdo a lo previsto en el numeral </w:t>
      </w:r>
      <w:r w:rsidR="00DC2B5E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10.2</w:t>
      </w: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 y en el modelo de contrato adjunto a la invitación de referencia, s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e otorgará, en una sola exhibición, un anticipo del 30% de la asignación presupuestal autorizada para el contrato respectivo en el ejercicio </w:t>
      </w:r>
      <w:r w:rsidR="00DC2B5E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2013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, </w:t>
      </w:r>
      <w:r w:rsidR="00FE7CC2" w:rsidRPr="00FE7CC2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para ser destinado para inicio de obra y demás conceptos expresados en el artículo 48 fracción II de las Normas del Banco de México en Materia de Obra Inmobiliaria y Servicios Relacionados con la Misma. Dicho anticipo se realizará en una sola exhibición y se amortizará en los términos establecidos en el contrato que al efecto se celebre.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El pago del citado anticipo se efectuará mediante una transferencia bancaria que realice el Banco al licitante ganador, en los plazos, términos y condiciones establecidos en el modelo del contrato </w:t>
      </w:r>
      <w:r w:rsidR="00D20BE7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respectivo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.</w:t>
      </w:r>
    </w:p>
    <w:p w:rsidR="006B5A95" w:rsidRPr="006B5A95" w:rsidRDefault="006B5A95" w:rsidP="006B5A95">
      <w:pPr>
        <w:rPr>
          <w:rFonts w:asciiTheme="minorHAnsi" w:hAnsiTheme="minorHAnsi" w:cstheme="minorHAnsi"/>
          <w:b/>
          <w:sz w:val="22"/>
          <w:szCs w:val="22"/>
          <w:lang w:val="es-MX" w:eastAsia="es-MX"/>
        </w:rPr>
      </w:pPr>
    </w:p>
    <w:p w:rsidR="006B5A95" w:rsidRPr="006B5A95" w:rsidRDefault="006B5A95" w:rsidP="00C83D3A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 w:rsidRPr="006B5A95">
        <w:rPr>
          <w:rFonts w:asciiTheme="minorHAnsi" w:hAnsiTheme="minorHAnsi" w:cstheme="minorHAnsi"/>
          <w:sz w:val="22"/>
          <w:szCs w:val="22"/>
          <w:u w:val="none"/>
        </w:rPr>
        <w:t>V.</w:t>
      </w:r>
      <w:r w:rsidR="00C83D3A">
        <w:rPr>
          <w:rFonts w:asciiTheme="minorHAnsi" w:hAnsiTheme="minorHAnsi" w:cstheme="minorHAnsi"/>
          <w:sz w:val="22"/>
          <w:szCs w:val="22"/>
          <w:u w:val="none"/>
        </w:rPr>
        <w:tab/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>NOMBRE, CARGO, FACULTADES Y FIRMA DE LOS RESPONSABLES DE LA EMISIÓN DEL FALLO Y DE LA EVALUACIÓN DE LAS PROPOSICIONES.</w:t>
      </w:r>
    </w:p>
    <w:p w:rsidR="006B5A95" w:rsidRPr="006B5A95" w:rsidRDefault="006B5A95" w:rsidP="006B5A95">
      <w:pPr>
        <w:pStyle w:val="Entrada"/>
        <w:keepNext w:val="0"/>
        <w:keepLines w:val="0"/>
        <w:widowControl w:val="0"/>
        <w:spacing w:before="0" w:after="0"/>
        <w:ind w:left="426" w:hanging="426"/>
        <w:rPr>
          <w:rFonts w:asciiTheme="minorHAnsi" w:hAnsiTheme="minorHAnsi" w:cstheme="minorHAnsi"/>
          <w:sz w:val="22"/>
          <w:szCs w:val="22"/>
          <w:u w:val="none"/>
        </w:rPr>
      </w:pPr>
    </w:p>
    <w:p w:rsidR="006B5A95" w:rsidRPr="006B5A95" w:rsidRDefault="000E0621" w:rsidP="00C83D3A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="006B5A95" w:rsidRPr="006B5A95">
        <w:rPr>
          <w:rFonts w:asciiTheme="minorHAnsi" w:hAnsiTheme="minorHAnsi" w:cstheme="minorHAnsi"/>
          <w:b/>
          <w:sz w:val="22"/>
          <w:szCs w:val="22"/>
        </w:rPr>
        <w:t xml:space="preserve"> Responsables de la emisión del fallo.</w:t>
      </w:r>
    </w:p>
    <w:p w:rsidR="006B5A95" w:rsidRPr="006B5A95" w:rsidRDefault="006B5A95" w:rsidP="006B5A95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A95" w:rsidRPr="006B5A95" w:rsidRDefault="006B5A95" w:rsidP="00C83D3A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B5A95">
        <w:rPr>
          <w:rFonts w:asciiTheme="minorHAnsi" w:hAnsiTheme="minorHAnsi" w:cstheme="minorHAnsi"/>
          <w:sz w:val="22"/>
          <w:szCs w:val="22"/>
        </w:rPr>
        <w:t xml:space="preserve">El presente fallo se emite en forma mancomunada por </w:t>
      </w:r>
      <w:r w:rsidR="00DC2B5E">
        <w:rPr>
          <w:rFonts w:asciiTheme="minorHAnsi" w:hAnsiTheme="minorHAnsi" w:cstheme="minorHAnsi"/>
          <w:sz w:val="22"/>
          <w:szCs w:val="22"/>
        </w:rPr>
        <w:t>el Ing</w:t>
      </w:r>
      <w:r w:rsidR="00CF1227">
        <w:rPr>
          <w:rFonts w:asciiTheme="minorHAnsi" w:hAnsiTheme="minorHAnsi" w:cstheme="minorHAnsi"/>
          <w:sz w:val="22"/>
          <w:szCs w:val="22"/>
        </w:rPr>
        <w:t>eniero</w:t>
      </w:r>
      <w:r w:rsidR="00DC2B5E">
        <w:rPr>
          <w:rFonts w:asciiTheme="minorHAnsi" w:hAnsiTheme="minorHAnsi" w:cstheme="minorHAnsi"/>
          <w:sz w:val="22"/>
          <w:szCs w:val="22"/>
        </w:rPr>
        <w:t xml:space="preserve"> Silverio Tenorio Pérez</w:t>
      </w:r>
      <w:r w:rsidR="00DC2B5E" w:rsidRPr="00DC2B5E">
        <w:rPr>
          <w:rFonts w:asciiTheme="minorHAnsi" w:hAnsiTheme="minorHAnsi" w:cstheme="minorHAnsi"/>
          <w:sz w:val="22"/>
          <w:szCs w:val="22"/>
        </w:rPr>
        <w:t xml:space="preserve"> </w:t>
      </w:r>
      <w:r w:rsidR="00DC2B5E" w:rsidRPr="006B5A95">
        <w:rPr>
          <w:rFonts w:asciiTheme="minorHAnsi" w:hAnsiTheme="minorHAnsi" w:cstheme="minorHAnsi"/>
          <w:sz w:val="22"/>
          <w:szCs w:val="22"/>
        </w:rPr>
        <w:t xml:space="preserve">y </w:t>
      </w:r>
      <w:r w:rsidR="00DC2B5E">
        <w:rPr>
          <w:rFonts w:asciiTheme="minorHAnsi" w:hAnsiTheme="minorHAnsi" w:cstheme="minorHAnsi"/>
          <w:sz w:val="22"/>
          <w:szCs w:val="22"/>
        </w:rPr>
        <w:t xml:space="preserve">el </w:t>
      </w:r>
      <w:r w:rsidR="00FB009B">
        <w:rPr>
          <w:rFonts w:asciiTheme="minorHAnsi" w:hAnsiTheme="minorHAnsi" w:cstheme="minorHAnsi"/>
          <w:sz w:val="22"/>
          <w:szCs w:val="22"/>
        </w:rPr>
        <w:t>ingeniero Gregorio Ramírez Díaz</w:t>
      </w:r>
      <w:r w:rsidRPr="006B5A95">
        <w:rPr>
          <w:rFonts w:asciiTheme="minorHAnsi" w:hAnsiTheme="minorHAnsi" w:cstheme="minorHAnsi"/>
          <w:sz w:val="22"/>
          <w:szCs w:val="22"/>
        </w:rPr>
        <w:t xml:space="preserve">, en su carácter de </w:t>
      </w:r>
      <w:r w:rsidR="00DC2B5E">
        <w:rPr>
          <w:rFonts w:asciiTheme="minorHAnsi" w:hAnsiTheme="minorHAnsi" w:cstheme="minorHAnsi"/>
          <w:sz w:val="22"/>
          <w:szCs w:val="22"/>
        </w:rPr>
        <w:t xml:space="preserve">Gerente de Inmobiliaria y de Servicios y Subgerente de </w:t>
      </w:r>
      <w:r w:rsidR="00FB009B">
        <w:rPr>
          <w:rFonts w:asciiTheme="minorHAnsi" w:hAnsiTheme="minorHAnsi" w:cstheme="minorHAnsi"/>
          <w:sz w:val="22"/>
          <w:szCs w:val="22"/>
        </w:rPr>
        <w:t>Operación de Inmuebles</w:t>
      </w:r>
      <w:r w:rsidRPr="006B5A95">
        <w:rPr>
          <w:rFonts w:asciiTheme="minorHAnsi" w:hAnsiTheme="minorHAnsi" w:cstheme="minorHAnsi"/>
          <w:sz w:val="22"/>
          <w:szCs w:val="22"/>
        </w:rPr>
        <w:t xml:space="preserve">, respectivamente, adscritos a la Dirección de Recursos Materiales del Banco de México, cuya firma se encuentra al calce, con fundamento en </w:t>
      </w:r>
      <w:r w:rsidRPr="006B5A95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los artículos 8°, 10° y 27 Bis del Reglamento Interior del Banco de México, así como Segundo del </w:t>
      </w:r>
      <w:r w:rsidRPr="006B5A95">
        <w:rPr>
          <w:rFonts w:asciiTheme="minorHAnsi" w:hAnsiTheme="minorHAnsi" w:cstheme="minorHAnsi"/>
          <w:sz w:val="22"/>
          <w:szCs w:val="22"/>
        </w:rPr>
        <w:t>Acuerdo de Adscripción de sus Unidades Administrativas.</w:t>
      </w:r>
    </w:p>
    <w:p w:rsidR="006B5A95" w:rsidRDefault="006B5A95" w:rsidP="006B5A95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B5A95" w:rsidRDefault="008A40D4" w:rsidP="00C83D3A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 w:rsidR="006B5A95" w:rsidRPr="006B5A95">
        <w:rPr>
          <w:rFonts w:asciiTheme="minorHAnsi" w:hAnsiTheme="minorHAnsi" w:cstheme="minorHAnsi"/>
          <w:b/>
          <w:sz w:val="22"/>
          <w:szCs w:val="22"/>
        </w:rPr>
        <w:t xml:space="preserve"> Responsable de la evaluación de las proposiciones.</w:t>
      </w:r>
    </w:p>
    <w:p w:rsidR="008A40D4" w:rsidRPr="006B5A95" w:rsidRDefault="008A40D4" w:rsidP="006B5A95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A95" w:rsidRPr="00C83D3A" w:rsidRDefault="00C60230" w:rsidP="00C83D3A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3D3A">
        <w:rPr>
          <w:rFonts w:asciiTheme="minorHAnsi" w:hAnsiTheme="minorHAnsi" w:cstheme="minorHAnsi"/>
          <w:sz w:val="22"/>
          <w:szCs w:val="22"/>
        </w:rPr>
        <w:t xml:space="preserve">Los responsables de la evaluación de los aspectos técnicos y económicos de las proposiciones, en el presente procedimiento, son el </w:t>
      </w:r>
      <w:r w:rsidR="00DC2B5E" w:rsidRPr="00C83D3A">
        <w:rPr>
          <w:rFonts w:asciiTheme="minorHAnsi" w:hAnsiTheme="minorHAnsi" w:cstheme="minorHAnsi"/>
          <w:sz w:val="22"/>
          <w:szCs w:val="22"/>
        </w:rPr>
        <w:t xml:space="preserve">Ing. </w:t>
      </w:r>
      <w:r w:rsidR="00C3276E">
        <w:rPr>
          <w:rFonts w:asciiTheme="minorHAnsi" w:hAnsiTheme="minorHAnsi" w:cstheme="minorHAnsi"/>
          <w:sz w:val="22"/>
          <w:szCs w:val="22"/>
        </w:rPr>
        <w:t>Miguel Angel García Connelly, Héctor Hugo Cabadas Estrella y Ramiro Méndez Saavedra</w:t>
      </w:r>
      <w:r w:rsidRPr="00C83D3A">
        <w:rPr>
          <w:rFonts w:asciiTheme="minorHAnsi" w:hAnsiTheme="minorHAnsi" w:cstheme="minorHAnsi"/>
          <w:sz w:val="22"/>
          <w:szCs w:val="22"/>
        </w:rPr>
        <w:t xml:space="preserve">, en su carácter de </w:t>
      </w:r>
      <w:r w:rsidR="00DC2B5E" w:rsidRPr="00C83D3A">
        <w:rPr>
          <w:rFonts w:asciiTheme="minorHAnsi" w:hAnsiTheme="minorHAnsi" w:cstheme="minorHAnsi"/>
          <w:sz w:val="22"/>
          <w:szCs w:val="22"/>
        </w:rPr>
        <w:t xml:space="preserve">Jefe e </w:t>
      </w:r>
      <w:r w:rsidR="00CF1227" w:rsidRPr="00C83D3A">
        <w:rPr>
          <w:rFonts w:asciiTheme="minorHAnsi" w:hAnsiTheme="minorHAnsi" w:cstheme="minorHAnsi"/>
          <w:sz w:val="22"/>
          <w:szCs w:val="22"/>
        </w:rPr>
        <w:t>Ingeniero</w:t>
      </w:r>
      <w:r w:rsidR="00C3276E">
        <w:rPr>
          <w:rFonts w:asciiTheme="minorHAnsi" w:hAnsiTheme="minorHAnsi" w:cstheme="minorHAnsi"/>
          <w:sz w:val="22"/>
          <w:szCs w:val="22"/>
        </w:rPr>
        <w:t>s</w:t>
      </w:r>
      <w:r w:rsidR="00CF1227" w:rsidRPr="00C83D3A">
        <w:rPr>
          <w:rFonts w:asciiTheme="minorHAnsi" w:hAnsiTheme="minorHAnsi" w:cstheme="minorHAnsi"/>
          <w:sz w:val="22"/>
          <w:szCs w:val="22"/>
        </w:rPr>
        <w:t xml:space="preserve"> de Mantenimiento de Inmuebles</w:t>
      </w:r>
      <w:r w:rsidRPr="00C83D3A">
        <w:rPr>
          <w:rFonts w:asciiTheme="minorHAnsi" w:hAnsiTheme="minorHAnsi" w:cstheme="minorHAnsi"/>
          <w:sz w:val="22"/>
          <w:szCs w:val="22"/>
        </w:rPr>
        <w:t>, respectivamente, adscritos a la Gerencia Inmobiliaria y de Servicios de la Dirección de Recursos Materiales del Banco de México.</w:t>
      </w:r>
    </w:p>
    <w:p w:rsidR="00DC2B5E" w:rsidRDefault="00DC2B5E" w:rsidP="00DC2B5E">
      <w:pPr>
        <w:ind w:left="284"/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:rsidR="00DC2B5E" w:rsidRPr="006B5A95" w:rsidRDefault="00DC2B5E" w:rsidP="00DC2B5E">
      <w:pPr>
        <w:ind w:left="284"/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:rsidR="006B5A95" w:rsidRPr="006B5A95" w:rsidRDefault="006B5A95" w:rsidP="006B5A95">
      <w:pPr>
        <w:pStyle w:val="cjletrapeque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B5A95">
        <w:rPr>
          <w:rFonts w:asciiTheme="minorHAnsi" w:hAnsiTheme="minorHAnsi" w:cstheme="minorHAnsi"/>
          <w:b/>
          <w:sz w:val="22"/>
          <w:szCs w:val="22"/>
          <w:lang w:val="pt-BR"/>
        </w:rPr>
        <w:t>BANCO DE MÉXICO</w:t>
      </w:r>
    </w:p>
    <w:tbl>
      <w:tblPr>
        <w:tblW w:w="10244" w:type="dxa"/>
        <w:jc w:val="center"/>
        <w:tblInd w:w="-132" w:type="dxa"/>
        <w:tblLayout w:type="fixed"/>
        <w:tblLook w:val="01E0" w:firstRow="1" w:lastRow="1" w:firstColumn="1" w:lastColumn="1" w:noHBand="0" w:noVBand="0"/>
      </w:tblPr>
      <w:tblGrid>
        <w:gridCol w:w="5052"/>
        <w:gridCol w:w="5192"/>
      </w:tblGrid>
      <w:tr w:rsidR="006B5A95" w:rsidRPr="006B5A95" w:rsidTr="00DC2B5E">
        <w:trPr>
          <w:jc w:val="center"/>
        </w:trPr>
        <w:tc>
          <w:tcPr>
            <w:tcW w:w="5052" w:type="dxa"/>
          </w:tcPr>
          <w:p w:rsidR="006B5A95" w:rsidRP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427" w:rsidRPr="006B5A95" w:rsidRDefault="00DE4427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5A95" w:rsidRP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  <w:p w:rsidR="006B5A95" w:rsidRDefault="00DC2B5E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ING. SILVERIO TENORIO PÉREZ</w:t>
            </w:r>
          </w:p>
          <w:p w:rsidR="006B5A95" w:rsidRPr="006B5A95" w:rsidRDefault="00DC2B5E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GERENTE DE INMOBILIARIA Y DE SERVICIOS</w:t>
            </w:r>
          </w:p>
        </w:tc>
        <w:tc>
          <w:tcPr>
            <w:tcW w:w="5192" w:type="dxa"/>
          </w:tcPr>
          <w:p w:rsidR="006B5A95" w:rsidRPr="006B5A95" w:rsidRDefault="006B5A95" w:rsidP="00D35F1D">
            <w:pPr>
              <w:pStyle w:val="cjletrapeque"/>
              <w:tabs>
                <w:tab w:val="left" w:pos="825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B5A95" w:rsidRPr="006B5A95" w:rsidRDefault="006B5A95" w:rsidP="006C49D3">
            <w:pPr>
              <w:pStyle w:val="cjletrapeque"/>
              <w:tabs>
                <w:tab w:val="left" w:pos="825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B5A95" w:rsidRP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5A95" w:rsidRP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5A95" w:rsidRP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  <w:p w:rsidR="006B5A95" w:rsidRDefault="00FB009B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ING. GREGORIO RAMÍREZ DÍAZ</w:t>
            </w:r>
          </w:p>
          <w:p w:rsidR="00AF7105" w:rsidRDefault="00DC2B5E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SUBGERENTE DE </w:t>
            </w:r>
            <w:r w:rsidR="00FB009B">
              <w:rPr>
                <w:rFonts w:asciiTheme="minorHAnsi" w:hAnsiTheme="minorHAnsi" w:cstheme="minorHAnsi"/>
                <w:b/>
                <w:sz w:val="22"/>
                <w:szCs w:val="22"/>
              </w:rPr>
              <w:t>OPERACIÓN DE INMUEBLES</w:t>
            </w:r>
          </w:p>
          <w:p w:rsidR="006B5A95" w:rsidRPr="006B5A95" w:rsidRDefault="006B5A95" w:rsidP="00D35F1D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5A95" w:rsidRPr="006B5A95" w:rsidRDefault="006B5A95" w:rsidP="006B5A95">
      <w:pPr>
        <w:pStyle w:val="cjletrapeque"/>
        <w:spacing w:after="0"/>
        <w:rPr>
          <w:rFonts w:asciiTheme="minorHAnsi" w:hAnsiTheme="minorHAnsi" w:cstheme="minorHAnsi"/>
          <w:i/>
          <w:sz w:val="22"/>
          <w:szCs w:val="22"/>
        </w:rPr>
      </w:pPr>
    </w:p>
    <w:sectPr w:rsidR="006B5A95" w:rsidRPr="006B5A95" w:rsidSect="00C83D3A">
      <w:headerReference w:type="default" r:id="rId9"/>
      <w:footerReference w:type="default" r:id="rId10"/>
      <w:pgSz w:w="12240" w:h="15840" w:code="1"/>
      <w:pgMar w:top="1803" w:right="1041" w:bottom="1418" w:left="1134" w:header="54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34" w:rsidRDefault="00844734" w:rsidP="006B5A95">
      <w:r>
        <w:separator/>
      </w:r>
    </w:p>
  </w:endnote>
  <w:endnote w:type="continuationSeparator" w:id="0">
    <w:p w:rsidR="00844734" w:rsidRDefault="00844734" w:rsidP="006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D" w:rsidRDefault="00D35F1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948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34" w:rsidRDefault="00844734" w:rsidP="006B5A95">
      <w:r>
        <w:separator/>
      </w:r>
    </w:p>
  </w:footnote>
  <w:footnote w:type="continuationSeparator" w:id="0">
    <w:p w:rsidR="00844734" w:rsidRDefault="00844734" w:rsidP="006B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D" w:rsidRDefault="00D35F1D" w:rsidP="00D35F1D">
    <w:pPr>
      <w:jc w:val="center"/>
      <w:rPr>
        <w:rFonts w:cs="Arial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D25E72C" wp14:editId="42227447">
          <wp:simplePos x="0" y="0"/>
          <wp:positionH relativeFrom="page">
            <wp:posOffset>2658110</wp:posOffset>
          </wp:positionH>
          <wp:positionV relativeFrom="paragraph">
            <wp:posOffset>62230</wp:posOffset>
          </wp:positionV>
          <wp:extent cx="2519680" cy="61912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O_DE_MEXICO_logo_horizontal-2X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5F1D" w:rsidRPr="005B45DF" w:rsidRDefault="00D35F1D" w:rsidP="00D35F1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438"/>
    <w:multiLevelType w:val="hybridMultilevel"/>
    <w:tmpl w:val="806A04D0"/>
    <w:lvl w:ilvl="0" w:tplc="0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2CD82149"/>
    <w:multiLevelType w:val="hybridMultilevel"/>
    <w:tmpl w:val="26E8EAA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C540D0"/>
    <w:multiLevelType w:val="hybridMultilevel"/>
    <w:tmpl w:val="7436B3DC"/>
    <w:lvl w:ilvl="0" w:tplc="50D6A0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9DF5610"/>
    <w:multiLevelType w:val="hybridMultilevel"/>
    <w:tmpl w:val="4C3E7108"/>
    <w:lvl w:ilvl="0" w:tplc="50D6A0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72324FD0">
      <w:start w:val="2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3223F"/>
    <w:rsid w:val="00034036"/>
    <w:rsid w:val="00044745"/>
    <w:rsid w:val="000A263D"/>
    <w:rsid w:val="000A7F1D"/>
    <w:rsid w:val="000E0621"/>
    <w:rsid w:val="00113B42"/>
    <w:rsid w:val="001C4749"/>
    <w:rsid w:val="0022124B"/>
    <w:rsid w:val="00254612"/>
    <w:rsid w:val="00255D67"/>
    <w:rsid w:val="00255E92"/>
    <w:rsid w:val="002B1045"/>
    <w:rsid w:val="002D150D"/>
    <w:rsid w:val="002D6B66"/>
    <w:rsid w:val="0030225A"/>
    <w:rsid w:val="00325138"/>
    <w:rsid w:val="00356E7E"/>
    <w:rsid w:val="00363599"/>
    <w:rsid w:val="00365F61"/>
    <w:rsid w:val="00417CD6"/>
    <w:rsid w:val="00420BF2"/>
    <w:rsid w:val="0043331C"/>
    <w:rsid w:val="00445CEB"/>
    <w:rsid w:val="00472C84"/>
    <w:rsid w:val="004948F0"/>
    <w:rsid w:val="004B063F"/>
    <w:rsid w:val="004E14F5"/>
    <w:rsid w:val="00520BC3"/>
    <w:rsid w:val="00524A86"/>
    <w:rsid w:val="00537942"/>
    <w:rsid w:val="005623D7"/>
    <w:rsid w:val="00590634"/>
    <w:rsid w:val="005A3497"/>
    <w:rsid w:val="005C5188"/>
    <w:rsid w:val="006354AB"/>
    <w:rsid w:val="006456FB"/>
    <w:rsid w:val="0069136C"/>
    <w:rsid w:val="006B5A95"/>
    <w:rsid w:val="006C4337"/>
    <w:rsid w:val="006C49D3"/>
    <w:rsid w:val="006E1A35"/>
    <w:rsid w:val="00723632"/>
    <w:rsid w:val="007546E3"/>
    <w:rsid w:val="007B70DE"/>
    <w:rsid w:val="007D619F"/>
    <w:rsid w:val="00844734"/>
    <w:rsid w:val="00863FF4"/>
    <w:rsid w:val="008A40D4"/>
    <w:rsid w:val="008F0715"/>
    <w:rsid w:val="00926700"/>
    <w:rsid w:val="009524FD"/>
    <w:rsid w:val="009563C8"/>
    <w:rsid w:val="009B0838"/>
    <w:rsid w:val="009D3769"/>
    <w:rsid w:val="00A26AF2"/>
    <w:rsid w:val="00A34EB0"/>
    <w:rsid w:val="00A36104"/>
    <w:rsid w:val="00A3762D"/>
    <w:rsid w:val="00AA1F46"/>
    <w:rsid w:val="00AF7105"/>
    <w:rsid w:val="00B14FCD"/>
    <w:rsid w:val="00B161FF"/>
    <w:rsid w:val="00B26350"/>
    <w:rsid w:val="00B65B93"/>
    <w:rsid w:val="00BD0D76"/>
    <w:rsid w:val="00C3276E"/>
    <w:rsid w:val="00C60230"/>
    <w:rsid w:val="00C67B5B"/>
    <w:rsid w:val="00C83D3A"/>
    <w:rsid w:val="00C84FAB"/>
    <w:rsid w:val="00CD3A02"/>
    <w:rsid w:val="00CF1227"/>
    <w:rsid w:val="00D20BE7"/>
    <w:rsid w:val="00D35F1D"/>
    <w:rsid w:val="00D733AF"/>
    <w:rsid w:val="00DC2B5E"/>
    <w:rsid w:val="00DD0675"/>
    <w:rsid w:val="00DE4427"/>
    <w:rsid w:val="00E32726"/>
    <w:rsid w:val="00EA5795"/>
    <w:rsid w:val="00ED3702"/>
    <w:rsid w:val="00ED380F"/>
    <w:rsid w:val="00F14A03"/>
    <w:rsid w:val="00F15C25"/>
    <w:rsid w:val="00F84161"/>
    <w:rsid w:val="00F9388E"/>
    <w:rsid w:val="00FB009B"/>
    <w:rsid w:val="00FC67B5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jletrapeque">
    <w:name w:val="cj letra peque"/>
    <w:basedOn w:val="Normal"/>
    <w:rsid w:val="006B5A95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18"/>
      <w:szCs w:val="20"/>
    </w:rPr>
  </w:style>
  <w:style w:type="paragraph" w:styleId="Piedepgina">
    <w:name w:val="footer"/>
    <w:basedOn w:val="Normal"/>
    <w:link w:val="PiedepginaCar"/>
    <w:rsid w:val="006B5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5A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trada">
    <w:name w:val="Entrada"/>
    <w:basedOn w:val="Normal"/>
    <w:rsid w:val="006B5A95"/>
    <w:pPr>
      <w:keepNext/>
      <w:keepLines/>
      <w:spacing w:before="240" w:after="120"/>
      <w:jc w:val="both"/>
    </w:pPr>
    <w:rPr>
      <w:rFonts w:ascii="Arial Narrow" w:hAnsi="Arial Narrow" w:cs="Arial"/>
      <w:b/>
      <w:sz w:val="20"/>
      <w:szCs w:val="20"/>
      <w:u w:val="single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B5A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A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13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3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3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3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36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36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2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749"/>
    <w:pPr>
      <w:ind w:left="720"/>
      <w:contextualSpacing/>
    </w:pPr>
  </w:style>
  <w:style w:type="paragraph" w:customStyle="1" w:styleId="cjinciso3">
    <w:name w:val="cj inciso 3"/>
    <w:link w:val="cjinciso3Car"/>
    <w:rsid w:val="00445CEB"/>
    <w:pPr>
      <w:tabs>
        <w:tab w:val="num" w:pos="1497"/>
      </w:tabs>
      <w:spacing w:line="240" w:lineRule="auto"/>
      <w:ind w:left="1497" w:hanging="360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cjinciso3Car">
    <w:name w:val="cj inciso 3 Car"/>
    <w:link w:val="cjinciso3"/>
    <w:rsid w:val="00445CEB"/>
    <w:rPr>
      <w:rFonts w:ascii="Arial" w:eastAsia="Times New Roman" w:hAnsi="Arial" w:cs="Arial"/>
      <w:szCs w:val="20"/>
      <w:lang w:val="es-ES" w:eastAsia="es-ES"/>
    </w:rPr>
  </w:style>
  <w:style w:type="paragraph" w:customStyle="1" w:styleId="cjminusculas">
    <w:name w:val="cj minusculas"/>
    <w:basedOn w:val="Normal"/>
    <w:rsid w:val="00445CEB"/>
    <w:pPr>
      <w:tabs>
        <w:tab w:val="num" w:pos="644"/>
        <w:tab w:val="left" w:pos="2000"/>
      </w:tabs>
      <w:overflowPunct w:val="0"/>
      <w:autoSpaceDE w:val="0"/>
      <w:autoSpaceDN w:val="0"/>
      <w:adjustRightInd w:val="0"/>
      <w:spacing w:after="200"/>
      <w:ind w:left="644" w:hanging="36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jtextonumeral1">
    <w:name w:val="cj texto numeral 1"/>
    <w:basedOn w:val="Normal"/>
    <w:rsid w:val="00CF1227"/>
    <w:pPr>
      <w:overflowPunct w:val="0"/>
      <w:autoSpaceDE w:val="0"/>
      <w:autoSpaceDN w:val="0"/>
      <w:adjustRightInd w:val="0"/>
      <w:spacing w:after="200"/>
      <w:ind w:left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jsubinciso">
    <w:name w:val="cj subinciso"/>
    <w:basedOn w:val="Normal"/>
    <w:rsid w:val="00CF1227"/>
    <w:pPr>
      <w:overflowPunct w:val="0"/>
      <w:autoSpaceDE w:val="0"/>
      <w:autoSpaceDN w:val="0"/>
      <w:adjustRightInd w:val="0"/>
      <w:spacing w:after="200"/>
      <w:ind w:left="1134" w:hanging="425"/>
      <w:jc w:val="both"/>
      <w:textAlignment w:val="baseline"/>
    </w:pPr>
    <w:rPr>
      <w:rFonts w:ascii="Arial" w:hAnsi="Arial"/>
      <w:noProof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jletrapeque">
    <w:name w:val="cj letra peque"/>
    <w:basedOn w:val="Normal"/>
    <w:rsid w:val="006B5A95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18"/>
      <w:szCs w:val="20"/>
    </w:rPr>
  </w:style>
  <w:style w:type="paragraph" w:styleId="Piedepgina">
    <w:name w:val="footer"/>
    <w:basedOn w:val="Normal"/>
    <w:link w:val="PiedepginaCar"/>
    <w:rsid w:val="006B5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5A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trada">
    <w:name w:val="Entrada"/>
    <w:basedOn w:val="Normal"/>
    <w:rsid w:val="006B5A95"/>
    <w:pPr>
      <w:keepNext/>
      <w:keepLines/>
      <w:spacing w:before="240" w:after="120"/>
      <w:jc w:val="both"/>
    </w:pPr>
    <w:rPr>
      <w:rFonts w:ascii="Arial Narrow" w:hAnsi="Arial Narrow" w:cs="Arial"/>
      <w:b/>
      <w:sz w:val="20"/>
      <w:szCs w:val="20"/>
      <w:u w:val="single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B5A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A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13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3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3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3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36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36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2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749"/>
    <w:pPr>
      <w:ind w:left="720"/>
      <w:contextualSpacing/>
    </w:pPr>
  </w:style>
  <w:style w:type="paragraph" w:customStyle="1" w:styleId="cjinciso3">
    <w:name w:val="cj inciso 3"/>
    <w:link w:val="cjinciso3Car"/>
    <w:rsid w:val="00445CEB"/>
    <w:pPr>
      <w:tabs>
        <w:tab w:val="num" w:pos="1497"/>
      </w:tabs>
      <w:spacing w:line="240" w:lineRule="auto"/>
      <w:ind w:left="1497" w:hanging="360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cjinciso3Car">
    <w:name w:val="cj inciso 3 Car"/>
    <w:link w:val="cjinciso3"/>
    <w:rsid w:val="00445CEB"/>
    <w:rPr>
      <w:rFonts w:ascii="Arial" w:eastAsia="Times New Roman" w:hAnsi="Arial" w:cs="Arial"/>
      <w:szCs w:val="20"/>
      <w:lang w:val="es-ES" w:eastAsia="es-ES"/>
    </w:rPr>
  </w:style>
  <w:style w:type="paragraph" w:customStyle="1" w:styleId="cjminusculas">
    <w:name w:val="cj minusculas"/>
    <w:basedOn w:val="Normal"/>
    <w:rsid w:val="00445CEB"/>
    <w:pPr>
      <w:tabs>
        <w:tab w:val="num" w:pos="644"/>
        <w:tab w:val="left" w:pos="2000"/>
      </w:tabs>
      <w:overflowPunct w:val="0"/>
      <w:autoSpaceDE w:val="0"/>
      <w:autoSpaceDN w:val="0"/>
      <w:adjustRightInd w:val="0"/>
      <w:spacing w:after="200"/>
      <w:ind w:left="644" w:hanging="36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jtextonumeral1">
    <w:name w:val="cj texto numeral 1"/>
    <w:basedOn w:val="Normal"/>
    <w:rsid w:val="00CF1227"/>
    <w:pPr>
      <w:overflowPunct w:val="0"/>
      <w:autoSpaceDE w:val="0"/>
      <w:autoSpaceDN w:val="0"/>
      <w:adjustRightInd w:val="0"/>
      <w:spacing w:after="200"/>
      <w:ind w:left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jsubinciso">
    <w:name w:val="cj subinciso"/>
    <w:basedOn w:val="Normal"/>
    <w:rsid w:val="00CF1227"/>
    <w:pPr>
      <w:overflowPunct w:val="0"/>
      <w:autoSpaceDE w:val="0"/>
      <w:autoSpaceDN w:val="0"/>
      <w:adjustRightInd w:val="0"/>
      <w:spacing w:after="200"/>
      <w:ind w:left="1134" w:hanging="425"/>
      <w:jc w:val="both"/>
      <w:textAlignment w:val="baseline"/>
    </w:pPr>
    <w:rPr>
      <w:rFonts w:ascii="Arial" w:hAnsi="Arial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9DB4-9AE3-4B8C-A67C-C5A18B5E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6864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D11463</dc:creator>
  <cp:lastModifiedBy>Banxico</cp:lastModifiedBy>
  <cp:revision>2</cp:revision>
  <cp:lastPrinted>2013-07-17T22:42:00Z</cp:lastPrinted>
  <dcterms:created xsi:type="dcterms:W3CDTF">2013-07-22T22:23:00Z</dcterms:created>
  <dcterms:modified xsi:type="dcterms:W3CDTF">2013-07-22T22:23:00Z</dcterms:modified>
</cp:coreProperties>
</file>